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83" w:rsidRDefault="00C07983">
      <w:pPr>
        <w:pStyle w:val="ConsPlusNormal0"/>
        <w:jc w:val="both"/>
        <w:outlineLvl w:val="0"/>
      </w:pPr>
      <w:bookmarkStart w:id="0" w:name="_GoBack"/>
      <w:bookmarkEnd w:id="0"/>
    </w:p>
    <w:p w:rsidR="00C07983" w:rsidRDefault="00D5794F">
      <w:pPr>
        <w:pStyle w:val="ConsPlusNormal0"/>
        <w:outlineLvl w:val="0"/>
      </w:pPr>
      <w:r>
        <w:t>Зарегистрировано в Минюсте России 11 декабря 2020 г. N 61391</w:t>
      </w:r>
    </w:p>
    <w:p w:rsidR="00C07983" w:rsidRDefault="00C0798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Title0"/>
        <w:jc w:val="center"/>
      </w:pPr>
      <w:r>
        <w:t>ФЕДЕРАЛЬНАЯ СЛУЖБА ПО ЭКОЛОГИЧЕСКОМУ, ТЕХНОЛОГИЧЕСКОМУ</w:t>
      </w:r>
    </w:p>
    <w:p w:rsidR="00C07983" w:rsidRDefault="00D5794F">
      <w:pPr>
        <w:pStyle w:val="ConsPlusTitle0"/>
        <w:jc w:val="center"/>
      </w:pPr>
      <w:r>
        <w:t>И АТОМНОМУ НАДЗОРУ</w:t>
      </w:r>
    </w:p>
    <w:p w:rsidR="00C07983" w:rsidRDefault="00C07983">
      <w:pPr>
        <w:pStyle w:val="ConsPlusTitle0"/>
        <w:jc w:val="center"/>
      </w:pPr>
    </w:p>
    <w:p w:rsidR="00C07983" w:rsidRDefault="00D5794F">
      <w:pPr>
        <w:pStyle w:val="ConsPlusTitle0"/>
        <w:jc w:val="center"/>
      </w:pPr>
      <w:r>
        <w:t>ПРИКАЗ</w:t>
      </w:r>
    </w:p>
    <w:p w:rsidR="00C07983" w:rsidRDefault="00D5794F">
      <w:pPr>
        <w:pStyle w:val="ConsPlusTitle0"/>
        <w:jc w:val="center"/>
      </w:pPr>
      <w:r>
        <w:t>от 20 октября 2020 г. N 420</w:t>
      </w:r>
    </w:p>
    <w:p w:rsidR="00C07983" w:rsidRDefault="00C07983">
      <w:pPr>
        <w:pStyle w:val="ConsPlusTitle0"/>
        <w:jc w:val="center"/>
      </w:pPr>
    </w:p>
    <w:p w:rsidR="00C07983" w:rsidRDefault="00D5794F">
      <w:pPr>
        <w:pStyle w:val="ConsPlusTitle0"/>
        <w:jc w:val="center"/>
      </w:pPr>
      <w:r>
        <w:t>ОБ УТВЕРЖДЕНИИ ФЕДЕРАЛЬНЫХ НОРМ И ПРАВИЛ</w:t>
      </w:r>
    </w:p>
    <w:p w:rsidR="00C07983" w:rsidRDefault="00D5794F">
      <w:pPr>
        <w:pStyle w:val="ConsPlusTitle0"/>
        <w:jc w:val="center"/>
      </w:pPr>
      <w:r>
        <w:t>В ОБЛАСТИ ПРОМЫШЛЕННОЙ БЕЗОПАСНОСТИ "ПРАВИЛА ПРОВЕДЕНИЯ</w:t>
      </w:r>
    </w:p>
    <w:p w:rsidR="00C07983" w:rsidRDefault="00D5794F">
      <w:pPr>
        <w:pStyle w:val="ConsPlusTitle0"/>
        <w:jc w:val="center"/>
      </w:pPr>
      <w:r>
        <w:t>ЭКСПЕРТИЗЫ ПРОМЫШЛЕННОЙ БЕЗОПАСНОСТИ"</w:t>
      </w:r>
    </w:p>
    <w:p w:rsidR="00C07983" w:rsidRDefault="00C079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079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83" w:rsidRDefault="00C079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83" w:rsidRDefault="00C079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983" w:rsidRDefault="00D579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983" w:rsidRDefault="00D579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13.04.2022 </w:t>
            </w:r>
            <w:hyperlink r:id="rId7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07983" w:rsidRDefault="00D579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20.02.2024 </w:t>
            </w:r>
            <w:hyperlink r:id="rId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83" w:rsidRDefault="00C07983">
            <w:pPr>
              <w:pStyle w:val="ConsPlusNormal0"/>
            </w:pPr>
          </w:p>
        </w:tc>
      </w:tr>
    </w:tbl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5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4860), </w:t>
      </w:r>
      <w:hyperlink r:id="rId10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2020, N 27, ст. 4248), приказываю: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1. Утвердить прилагаемые федеральные </w:t>
      </w:r>
      <w:hyperlink w:anchor="P34" w:tooltip="ФЕДЕРАЛЬНЫЕ НОРМЫ И ПРАВИЛА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проведения экспертизы промышленной безопасности".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jc w:val="right"/>
      </w:pPr>
      <w:r>
        <w:t>Руководитель</w:t>
      </w:r>
    </w:p>
    <w:p w:rsidR="00C07983" w:rsidRDefault="00D5794F">
      <w:pPr>
        <w:pStyle w:val="ConsPlusNormal0"/>
        <w:jc w:val="right"/>
      </w:pPr>
      <w:r>
        <w:t>А.В.АЛЕШИН</w:t>
      </w:r>
    </w:p>
    <w:p w:rsidR="00C07983" w:rsidRDefault="00C07983">
      <w:pPr>
        <w:pStyle w:val="ConsPlusNormal0"/>
        <w:jc w:val="both"/>
      </w:pPr>
    </w:p>
    <w:p w:rsidR="00C07983" w:rsidRDefault="00C07983">
      <w:pPr>
        <w:pStyle w:val="ConsPlusNormal0"/>
        <w:jc w:val="both"/>
      </w:pPr>
    </w:p>
    <w:p w:rsidR="00C07983" w:rsidRDefault="00C07983">
      <w:pPr>
        <w:pStyle w:val="ConsPlusNormal0"/>
        <w:jc w:val="both"/>
      </w:pPr>
    </w:p>
    <w:p w:rsidR="00C07983" w:rsidRDefault="00C07983">
      <w:pPr>
        <w:pStyle w:val="ConsPlusNormal0"/>
        <w:jc w:val="both"/>
      </w:pP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jc w:val="right"/>
        <w:outlineLvl w:val="0"/>
      </w:pPr>
      <w:r>
        <w:t>Утверждены</w:t>
      </w:r>
    </w:p>
    <w:p w:rsidR="00C07983" w:rsidRDefault="00D5794F">
      <w:pPr>
        <w:pStyle w:val="ConsPlusNormal0"/>
        <w:jc w:val="right"/>
      </w:pPr>
      <w:r>
        <w:t>приказом Федеральной службы</w:t>
      </w:r>
    </w:p>
    <w:p w:rsidR="00C07983" w:rsidRDefault="00D5794F">
      <w:pPr>
        <w:pStyle w:val="ConsPlusNormal0"/>
        <w:jc w:val="right"/>
      </w:pPr>
      <w:r>
        <w:t>по экологическому, технологическому</w:t>
      </w:r>
    </w:p>
    <w:p w:rsidR="00C07983" w:rsidRDefault="00D5794F">
      <w:pPr>
        <w:pStyle w:val="ConsPlusNormal0"/>
        <w:jc w:val="right"/>
      </w:pPr>
      <w:r>
        <w:t>и атомному надзору</w:t>
      </w:r>
    </w:p>
    <w:p w:rsidR="00C07983" w:rsidRDefault="00D5794F">
      <w:pPr>
        <w:pStyle w:val="ConsPlusNormal0"/>
        <w:jc w:val="right"/>
      </w:pPr>
      <w:r>
        <w:t>от 20 октября 2020 г. N 420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Title0"/>
        <w:jc w:val="center"/>
      </w:pPr>
      <w:bookmarkStart w:id="1" w:name="P34"/>
      <w:bookmarkEnd w:id="1"/>
      <w:r>
        <w:t>ФЕДЕРАЛЬНЫЕ НОРМЫ И ПРАВИЛА</w:t>
      </w:r>
    </w:p>
    <w:p w:rsidR="00C07983" w:rsidRDefault="00D5794F">
      <w:pPr>
        <w:pStyle w:val="ConsPlusTitle0"/>
        <w:jc w:val="center"/>
      </w:pPr>
      <w:r>
        <w:t>В ОБЛАСТИ ПРОМЫШЛЕННОЙ БЕЗОПАСНОСТИ "ПРАВИЛА ПРОВЕДЕНИЯ</w:t>
      </w:r>
    </w:p>
    <w:p w:rsidR="00C07983" w:rsidRDefault="00D5794F">
      <w:pPr>
        <w:pStyle w:val="ConsPlusTitle0"/>
        <w:jc w:val="center"/>
      </w:pPr>
      <w:r>
        <w:t>ЭКСПЕРТИЗЫ ПРОМЫШЛЕННОЙ БЕЗОПАСНОСТИ"</w:t>
      </w:r>
    </w:p>
    <w:p w:rsidR="00C07983" w:rsidRDefault="00C0798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079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83" w:rsidRDefault="00C0798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83" w:rsidRDefault="00C0798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7983" w:rsidRDefault="00D5794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7983" w:rsidRDefault="00D5794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13.04.2022 </w:t>
            </w:r>
            <w:hyperlink r:id="rId11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07983" w:rsidRDefault="00D5794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20.02.2024 </w:t>
            </w:r>
            <w:hyperlink r:id="rId12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83" w:rsidRDefault="00C07983">
            <w:pPr>
              <w:pStyle w:val="ConsPlusNormal0"/>
            </w:pPr>
          </w:p>
        </w:tc>
      </w:tr>
    </w:tbl>
    <w:p w:rsidR="00C07983" w:rsidRDefault="00C07983">
      <w:pPr>
        <w:pStyle w:val="ConsPlusNormal0"/>
        <w:jc w:val="both"/>
      </w:pPr>
    </w:p>
    <w:p w:rsidR="00C07983" w:rsidRDefault="00D5794F">
      <w:pPr>
        <w:pStyle w:val="ConsPlusTitle0"/>
        <w:jc w:val="center"/>
        <w:outlineLvl w:val="1"/>
      </w:pPr>
      <w:r>
        <w:t>I. Общие положения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1. Федеральные нормы и правила в области промышленной безопасности "Правила проведения экспертизы промышленной безопасности" (далее - Правила) устанавливают процедуру проведения экспертизы промышленной безопасности (далее - экспертиза), требования к оформлению заключения экспертизы и требования к экспертам в области промышленной безопасности (далее - эксперты).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lastRenderedPageBreak/>
        <w:t xml:space="preserve">2. Правила применяются при проведении экспертизы объектов, предусмотренных </w:t>
      </w:r>
      <w:hyperlink r:id="rId1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пунктом 1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(далее - объекты экспертизы).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3. Правила не применяются при проведении страховщиком экспертизы опасного объекта, предусмотренной </w:t>
      </w:r>
      <w:hyperlink r:id="rId14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подпунктом 1 пункта 1 статьи 12</w:t>
        </w:r>
      </w:hyperlink>
      <w:r>
        <w:t xml:space="preserve"> Федерального закона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(Собрание законодательства Российской Федерации, 2010, N 31, ст. 4194; 2018, N 52, ст. 8102).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4. Техническое устройство, применяемое на опасном производственном объекте, подлежит экспертизе (если техническим регламентом не установлена иная форма оценки соответствия указанного устройства обязательным требованиям):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до начала применения на опасном производственном объекте;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по истечении срока службы или при превышении количества циклов нагрузки такого технического устройства, установленных его производителем;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 w:rsidR="00C07983" w:rsidRDefault="00D5794F">
      <w:pPr>
        <w:pStyle w:val="ConsPlusNormal0"/>
        <w:jc w:val="both"/>
      </w:pPr>
      <w:r>
        <w:t xml:space="preserve">(в ред. </w:t>
      </w:r>
      <w:hyperlink r:id="rId15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после проведения работ, связанных с изменением конструкции, заменой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 &lt;1&gt;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2 статьи 7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5.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подлежат экспертизе: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 случае истечения срока эксплуатации здания или сооружения, установленного проектной документацией;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 случае отсутствия проектной документации, либо отсутствия в проектной документации данных о сроке эксплуатации здания или сооружения;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после аварии на опасном производственном объекте, в результате которой были повреждены несущие конструкции данных зданий и сооружений;</w:t>
      </w:r>
    </w:p>
    <w:p w:rsidR="00C07983" w:rsidRDefault="00D5794F" w:rsidP="009507F2">
      <w:pPr>
        <w:pStyle w:val="ConsPlusNormal0"/>
        <w:spacing w:before="200"/>
        <w:ind w:firstLine="540"/>
        <w:jc w:val="both"/>
      </w:pPr>
      <w:r>
        <w:t>по истечении сроков безопасной эксплуатации, установленных заключениями экспертизы.</w:t>
      </w:r>
    </w:p>
    <w:p w:rsidR="00C07983" w:rsidRDefault="00D5794F">
      <w:pPr>
        <w:pStyle w:val="ConsPlusNormal0"/>
        <w:spacing w:before="260"/>
        <w:ind w:firstLine="540"/>
        <w:jc w:val="both"/>
      </w:pPr>
      <w:r>
        <w:t>6. Экспертиза технических устройств, зданий и сооружений на опасных производственных объектах, используемых в интересах обороны и безопасности государства, производится с учетом требований законодательства Российской Федерации об обороне и о защите государственной тайны.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Title0"/>
        <w:jc w:val="center"/>
        <w:outlineLvl w:val="1"/>
      </w:pPr>
      <w:r>
        <w:t>II. Требования к экспертам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7. Эксперт в области промышленной безопасности (далее - эксперт) - физическое лицо,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&lt;2&gt;, обладает специальными знаниями в области промышленной безопасности и соответствует требованиям, установленным федеральными нормами и правилами в области промышленной безопасности &lt;3&gt;.</w:t>
      </w:r>
    </w:p>
    <w:p w:rsidR="00C07983" w:rsidRDefault="00D5794F">
      <w:pPr>
        <w:pStyle w:val="ConsPlusNormal0"/>
        <w:jc w:val="both"/>
      </w:pPr>
      <w:r>
        <w:t xml:space="preserve">(п. 7 в ред. </w:t>
      </w:r>
      <w:hyperlink r:id="rId17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lastRenderedPageBreak/>
        <w:t xml:space="preserve">&lt;2&gt; </w:t>
      </w:r>
      <w:hyperlink r:id="rId18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</w:t>
        </w:r>
      </w:hyperlink>
      <w:r>
        <w:t xml:space="preserve"> об аттестации экспертов в области промышленной безопасности, утвержденное постановлением Правительства Российской Федерации от 2 июня 2022 г. N 1009 (далее - Положение).</w:t>
      </w:r>
    </w:p>
    <w:p w:rsidR="00C07983" w:rsidRDefault="00D5794F">
      <w:pPr>
        <w:pStyle w:val="ConsPlusNormal0"/>
        <w:jc w:val="both"/>
      </w:pPr>
      <w:r>
        <w:t xml:space="preserve">(сноска в ред. </w:t>
      </w:r>
      <w:hyperlink r:id="rId19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 одиннадцатый статьи 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D5794F">
      <w:pPr>
        <w:pStyle w:val="ConsPlusNormal0"/>
        <w:jc w:val="both"/>
      </w:pPr>
      <w:r>
        <w:t xml:space="preserve">(сноска в ред. </w:t>
      </w:r>
      <w:hyperlink r:id="rId21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8. Эксперт первой категории &lt;4&gt; должен соответствовать следующим требованиям: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2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C07983" w:rsidRDefault="00D5794F">
      <w:pPr>
        <w:pStyle w:val="ConsPlusNormal0"/>
        <w:jc w:val="both"/>
      </w:pPr>
      <w:r>
        <w:t xml:space="preserve">(сноска в ред. </w:t>
      </w:r>
      <w:hyperlink r:id="rId23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1) иметь высшее образование;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2) иметь стаж работы не менее 10 лет по специальности, соответствующей его области (областям) аттестации;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4) иметь опыт проведения не менее 15 экспертиз.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9. Эксперт второй категории &lt;5&gt; должен соответствовать следующим требованиям: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C07983" w:rsidRDefault="00D5794F">
      <w:pPr>
        <w:pStyle w:val="ConsPlusNormal0"/>
        <w:jc w:val="both"/>
      </w:pPr>
      <w:r>
        <w:t xml:space="preserve">(сноска в ред. </w:t>
      </w:r>
      <w:hyperlink r:id="rId25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1) иметь высшее образование;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2) иметь стаж работы не менее 7 лет по специальности, соответствующей его области (областям) аттестации;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4) иметь опыт проведения не менее 10 экспертиз.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10. Эксперт третьей категории &lt;6&gt; должен соответствовать следующим требованиям: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C07983" w:rsidRDefault="00D5794F">
      <w:pPr>
        <w:pStyle w:val="ConsPlusNormal0"/>
        <w:jc w:val="both"/>
      </w:pPr>
      <w:r>
        <w:t xml:space="preserve">(сноска в ред. </w:t>
      </w:r>
      <w:hyperlink r:id="rId27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1) иметь высшее образование;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2) иметь стаж работы не менее 5 лет по специальности, соответствующей его области (областям) аттестации;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3) знать нормативные правовые акты Российской Федерации в области промышленной безопасности, средства измерений и оборудование, а также методов технического диагностирования, неразрушающего и </w:t>
      </w:r>
      <w:r>
        <w:lastRenderedPageBreak/>
        <w:t>разрушающего контроля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11. Эксперту запрещается участвовать в проведении экспертизы в отношении опасных производственных объектов, принадлежащих на праве собственности или ином законном основании организации, в трудовых отношениях с которой он состоит. &lt;7&gt;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10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 xml:space="preserve">Эксперт, которому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</w:t>
      </w:r>
      <w:hyperlink w:anchor="P114" w:tooltip="1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">
        <w:r>
          <w:rPr>
            <w:color w:val="0000FF"/>
          </w:rPr>
          <w:t>пунктом 13</w:t>
        </w:r>
      </w:hyperlink>
      <w:r>
        <w:t xml:space="preserve"> настоящих Правил, не должен участвовать в проведении экспертизы.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12. Эксперты обязаны: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определять соответствие объектов экспертизы промышленной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обеспечивать объективность и обоснованность выводов заключения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обеспечивать сохранность документов и конфиденциальность сведений, представленных на экспертизу. &lt;8&gt;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2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9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Title0"/>
        <w:jc w:val="center"/>
        <w:outlineLvl w:val="1"/>
      </w:pPr>
      <w:r>
        <w:t>III. Проведение экспертизы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bookmarkStart w:id="2" w:name="P114"/>
      <w:bookmarkEnd w:id="2"/>
      <w:r>
        <w:t>13.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использованием современных достижений науки и техники. &lt;9&gt;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3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3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14. Срок проведения экспертизы определяется сложностью объекта экспертизы, но не должен превышать трех месяцев со дня получения экспертной организацией от заказчика экспертизы (далее - заказчик) комплекта необходимых материалов и документов. Срок проведения экспертизы может быть продлен по соглашению сторон.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15. Экспертизу проводят организации, имеющие лицензию на деятельность по проведению экспертизы промышленной безопасности, за счет средств ее заказчика. &lt;10&gt;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&lt;10&gt;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 xml:space="preserve">16. Организации, имеющей лицензию на проведение экспертизы промышленной безопасности, </w:t>
      </w:r>
      <w:r>
        <w:lastRenderedPageBreak/>
        <w:t>запрещается проводить данную экспертизу в отношении опасных производственных объектов, принадлежащих на праве собственности или ином законном основании ей или лицам, входящим с ней в одну группу лиц в соответствии с антимонопольным законодательством Российской Федерации, а также в отношении иных объектов экспертизы, связанных с такими опасными производственными объектами. Заключение экспертизы, составленное с нарушением данного требования, не может быть использовано для целей, установленных законодательством Российской Федерации. &lt;11&gt;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&lt;11&gt; </w:t>
      </w:r>
      <w:hyperlink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17. Руководителем организации, проводящей экспертизу, определяются участвующие в проведении экспертизы эксперт или группа экспертов, область аттестации которых соответствует объекту экспертизы.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 случае участия в экспертизе группы экспертов, может быть определен руководитель группы экспертов, обеспечивающий обобщение результатов, своевременность проведения экспертизы и подготовку заключения экспертизы. Область аттестации руководителя группы экспертов должна соответствовать объекту экспертизы.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18. В проведении экспертизы в отношении опасных производственных объектов I класса опасности вправе участвовать эксперты первой категории, аттестованные в области аттестации, соответствующей объекту экспертизы, в порядке, установленном </w:t>
      </w:r>
      <w:hyperlink r:id="rId33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Положением</w:t>
        </w:r>
      </w:hyperlink>
      <w:r>
        <w:t>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19. В проведении экспертизы в отношении опасных производственных объектов II класса опасности &lt;12&gt; вправе участвовать эксперты первой и (или) второй категории, аттестованные в области аттестации, соответствующей объекту экспертизы, в порядке, установленном </w:t>
      </w:r>
      <w:hyperlink r:id="rId3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Положением</w:t>
        </w:r>
      </w:hyperlink>
      <w:r>
        <w:t>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&lt;12&gt; </w:t>
      </w:r>
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3 статьи 2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 xml:space="preserve">20. В проведении экспертизы в отношении опасных производственных объектов III и IV классов опасности &lt;13&gt; вправе участвовать эксперты первой, и (или) второй, и (или) третьей категории, аттестованные в области аттестации, соответствующей объекту экспертизы, в порядке, установленном </w:t>
      </w:r>
      <w:hyperlink r:id="rId3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Положением</w:t>
        </w:r>
      </w:hyperlink>
      <w:r>
        <w:t>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3 статьи 2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21. Экспертная организация приступает к проведению экспертизы после: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предоставления заказчиком необходимых для проведения экспертизы документов;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предоставления образцов технических устройств либо обеспечения доступа экспертов к техническим устройствам, зданиям и сооружениям, применяемым на опасном производственном объекте.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22. Заказчик обязан предоставить безопасный доступ экспертам, участвующим в проведении экспертизы, к техническим устройствам, применяемым на опасном производственном объекте, к зданиям и сооружениям опасных производственных объектов, в отношении которых проводится экспертиза.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Эксперты, участвующие в проведении экспертизы, обязаны 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установленные заказчиком.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23. При проведении экспертизы устанавливается полнота и достоверность относящихся к объекту экспертизы документов, предоставленных заказчиком, оценивается фактическое состояние технических устройств, зданий и сооружений на опасных производственных объектах. При оценке фактического состояния технических устройств, зданий и сооружений на опасных производственных объектах </w:t>
      </w:r>
      <w:r>
        <w:lastRenderedPageBreak/>
        <w:t>допускается использование информации автоматизированных систем мониторинга их технического состояния.</w:t>
      </w:r>
    </w:p>
    <w:p w:rsidR="00C07983" w:rsidRDefault="00D5794F">
      <w:pPr>
        <w:pStyle w:val="ConsPlusNormal0"/>
        <w:jc w:val="both"/>
      </w:pPr>
      <w:r>
        <w:t xml:space="preserve">(в ред. </w:t>
      </w:r>
      <w:hyperlink r:id="rId38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Ростехнадзора от 13.04.2022 N 120)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Для оценки фактического состояния зданий и сооружений проводится их обследование.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Техническое диагностирование технических устройств проводится для оценки фактического состояния технических устройств в следующих случаях: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а) при проведении экспертизы по истечении срока службы или при превышении количества циклов нагрузки такого технического устройства, установленных его производителем, либо 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 w:rsidR="00C07983" w:rsidRDefault="00D5794F">
      <w:pPr>
        <w:pStyle w:val="ConsPlusNormal0"/>
        <w:jc w:val="both"/>
      </w:pPr>
      <w:r>
        <w:t xml:space="preserve">(в ред. </w:t>
      </w:r>
      <w:hyperlink r:id="rId39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б) при проведении экспертизы после проведения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в) при обнаружении экспертами дефектов, вызывающих сомнение в прочности конструкции, или дефектов неизвестного происхождения.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24. При проведении экспертизы технических устройств выполняются: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а)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б) расчетные и аналитические процедуры оценки и прогнозирования технического состояния технических устройств (в случаях, при которых проводится техническое диагностирование технических устройств).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25. Техническое диагностирование технических устройств включает следующие мероприятия: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а) визуальный и измерительный контроль;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б) оперативное (функциональное) диагностирование для получения информации о состоянии, фактических параметрах работы, фактического нагружения технического устройства в реальных условиях эксплуатации;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в) определение действующих повреждающих факторов, механизмов повреждения и восприимчивости материала технического устройства к механизмам повреждения;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г) оценку качества соединений элементов технического устройства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д) выбор методов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е) неразрушающий контроль или разрушающий контроль металла и сварных соединений технического устройства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ж) оценку выявленных дефектов на основании результатов визуального и измерительного контроля, методов неразрушающего или разрушающего контроля;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з) исследование материалов технического устройства;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и) расчетные и аналитические процедуры оценки и прогнозирования технического состояния технического устройства, включающие анализ режимов работы и исследование напряженно-деформированного состояния;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к) оценку остаточного ресурса (срока службы).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26. При проведении экспертизы зданий и сооружений анализируются: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lastRenderedPageBreak/>
        <w:t>а) проектная и исполнительная документация на строительство, реконструкцию здания (сооружения), разрешение на ввод в эксплуатацию здания (сооружения);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б) документы, удостоверяющие качество строительных конструкций и материалов;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в) акты расследования аварий;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г) заключения экспертизы ранее проводимых экспертиз здания (сооружения);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д) эксплуатационная документация, документация о текущих и капитальных ремонтах, документация об изменениях конструкций зданий (сооружений).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27. Обследование зданий и сооружений включает следующие мероприятия: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а) определение соответствия строительных конструкций зданий и сооружений проектной документации и требованиям нормативных документов, выявление дефектов и повреждений элементов и узлов конструкций зданий и сооружений с составлением ведомостей дефектов и повреждений;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б) определение пространственного положения строительных конструкций зданий и сооружений, их фактических сечений и состояния соединений;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в) определение степени влияния гидрологических, аэрологических и атмосферных воздействий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г) определение фактической прочности материалов и строительных конструкций зданий и сооружений в сравнении с проектными параметрами;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д) оценку соответствия площади и весовых характеристик легкосбрасываемых конструкций зданий и сооружений требуемой величине, обеспечивающей взрывоустойчивость объекта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е) изучение химической агрессивности производственной среды в отношении материалов строительных конструкций зданий и сооружений;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ж) определение степени коррозии арматуры и металлических элементов строительных конструкций (при наличии);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з) поверочный расчет строительных конструкций зданий и сооружений с учетом выявленных при обследовании отклонений, дефектов и повреждений, фактических (или прогнозируемых) нагрузок и свойств материалов этих конструкций;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и) оценку остаточной несущей способности и пригодности зданий и сооружений к дальнейшей эксплуатации.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28. При экспертизе документации на консервацию, ликвидацию опасного производственного объекта выполняется анализ мероприятий, направленных на обеспечение промышленной безопасности при остановке объекта, а также исключение аварий и инцидентов при осуществлении работ по консервации, ликвидации опасного производственного объекта.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29. При экспертизе документации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деятельности, выполняется анализ принятых технических решений и мероприятий на предмет их соответствия действующим требованиям промышленной безопасности.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30. Экспертная организация вправе привлекать к проведению технического диагностирования, неразрушающего контроля, разрушающего контроля технических устройств, а также к проведению обследований зданий и сооружений иные организации или лиц, владеющих необходимым оборудованием для проведения указанных работ.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В случаях, когда заказчик имеет в своем штате специалистов по техническому диагностированию, обследованию зданий и сооружений, неразрушающему контролю, разрушающему контролю, допускается привлекать данных специалистов заказчика к выполнению этих работ и учитывать результаты работ, выполненных указанными специалистами при оформлении заключения экспертизы. При этом в заключении </w:t>
      </w:r>
      <w:r>
        <w:lastRenderedPageBreak/>
        <w:t>экспертизы должны указываться виды работ, выполняемые специалистами заказчика.</w:t>
      </w:r>
    </w:p>
    <w:p w:rsidR="00C07983" w:rsidRDefault="00D5794F">
      <w:pPr>
        <w:pStyle w:val="ConsPlusNormal0"/>
        <w:spacing w:before="200"/>
        <w:ind w:firstLine="540"/>
        <w:jc w:val="both"/>
      </w:pPr>
      <w:bookmarkStart w:id="3" w:name="P185"/>
      <w:bookmarkEnd w:id="3"/>
      <w:r>
        <w:t>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составляются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заключению экспертизы.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Title0"/>
        <w:jc w:val="center"/>
        <w:outlineLvl w:val="1"/>
      </w:pPr>
      <w:r>
        <w:t>IV. Оформление заключения экспертизы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32. Результатом проведения экспертизы является заключение в письменной форме,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либо в форме электронного документа, подписанного квалифицированными электронными подписями руководителя организации, проводившей экспертизу, и эксперта (экспертов), участвовавшего (участвовавших) в проведении экспертизы. &lt;14&gt;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&lt;14&gt; </w:t>
      </w:r>
      <w:hyperlink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4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D5794F">
      <w:pPr>
        <w:pStyle w:val="ConsPlusNormal0"/>
        <w:ind w:firstLine="540"/>
        <w:jc w:val="both"/>
      </w:pPr>
      <w:r>
        <w:t>33. Экспертная организация должна осуществлять учет выданных заключений экспертизы и хранить их копии.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34. Заключение экспертизы должно содержать: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1) титульный лист с указанием наименования заключения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2) вводную часть, включающую: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указание на конкретные структурные единицы нормативных правовых актов в области промышленной безопасности (пункт, подпункт, часть, статья) на соответствие которым проводится оценка соответствия объекта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сведения об экспертной организации (наименование организации, ее организационно-правовая форма, дата выдачи лицензии на деятельность по проведению экспертизы промышленной безопасности, ее номер);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сведения об экспертах, принимавших участие в проведении экспертизы (фамилия, имя, отчество (при наличии), регистрационный номер квалификационного удостоверения эксперта);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3) наименование объекта экспертизы, на который распространяется действие заключения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4) данные о заказчике (наименование организации, ее организационно-правовая форма);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5) цель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идентификации, сведения об информации автоматизированных систем мониторинга технического состояния технических устройств, зданий и сооружений на опасных производственных объектах экспертизы;</w:t>
      </w:r>
    </w:p>
    <w:p w:rsidR="00C07983" w:rsidRDefault="00D5794F">
      <w:pPr>
        <w:pStyle w:val="ConsPlusNormal0"/>
        <w:jc w:val="both"/>
      </w:pPr>
      <w:r>
        <w:t xml:space="preserve">(в ред. </w:t>
      </w:r>
      <w:hyperlink r:id="rId41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Ростехнадзора от 13.04.2022 N 120)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7) краткую характеристику и назначение объекта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8) результаты проведенной экспертизы со ссылками на конкретные структурные единицы нормативных правовых актов в области промышленной безопасности;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9) выводы заключения экспертизы;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10) приложения, предусмотренные </w:t>
      </w:r>
      <w:hyperlink w:anchor="P185" w:tooltip="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составляются и подписываются лицами, проводившими работы, и руководителем проводившей их ор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11) сведения о проведенных мероприятиях и о результатах технического диагностирования технических устройств, обследования зданий и сооружений (при их проведении).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lastRenderedPageBreak/>
        <w:t>35. Заключение экспертизы должно содержать один из следующих выводов о соответствии объекта экспертизы требованиям промышленной безопасности (кроме экспертизы декларации промышленной безопасности):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1) объект экспертизы соответствует требованиям промышленной безопасности;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2) объект экспертизы не соответствует требованиям промышленной безопасности.</w:t>
      </w:r>
    </w:p>
    <w:p w:rsidR="00C07983" w:rsidRDefault="00D5794F">
      <w:pPr>
        <w:pStyle w:val="ConsPlusNormal0"/>
        <w:jc w:val="both"/>
      </w:pPr>
      <w:r>
        <w:t xml:space="preserve">(п. 35 в ред. </w:t>
      </w:r>
      <w:hyperlink r:id="rId42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Ростехнадзора от 13.04.2022 N 120)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36. По результатам экспертизы технического устройства, зданий и сооружений опасных производственных объектов в заключении экспертизы должны дополнительно приводиться сведения о расчетных и аналитических процедурах оценки и прогнозирования технического состояния объекта экспертизы, включающие определение остаточного ресурса (срока службы) с отражением в выводах заключения экспертизы установленного срока дальнейшей безопасной эксплуатации объекта экспертизы, с указанием условий дальнейшей безопасной эксплуатации.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37. По результатам проведения экспертизы декларации промышленной безопасности в заключении экспертизы должны содержаться следующие выводы: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об обоснованности применяемых физико-математических моделей и использованных методов расчета последствий аварии и показателей риска;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 правильности и достоверности выполненных расчетов по анализу риска, а также полноты учета факторов, влияющих на конечные результаты;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 вероятности реализации принятых сценариев аварий и возможности выхода поражающих факторов этих аварий за границу опасного производственного объекта, а также последствиях воздействия поражающих факторов на население, другие объекты, окружающую среду;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 достаточности мер предотвращения проникновения на опасный производственный объект посторонних лиц.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38. При проведении экспертизы обоснования безопасности опасного производственного объекта или вносимых в него изменений в заключении экспертизы должны содержаться следующие сведения: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оценка полноты и достоверности информации, представленной в обосновании безопасности;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оценка полноты и достаточности мероприятий, компенсирующих отступления от норм и правил в области промышленной безопасности;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оценка обоснованности результатов оценки риска аварий, в том числе адекватности применяемых физико-математических моделей и использованных методов расчетов по оценке риска, правильности и достоверности этих расчетов, а также полноты учета всех факторов, влияющих на конечные результаты;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оценка учета современного опыта эксплуатации, капитального ремонта, консервации и ликвидации опасных производственных объектов в обосновании безопасности;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оценка полноты требований к эксплуатации, капитальному ремонту, консервации или ликвидации опасного производственного объекта, установленных в обосновании безопасности.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39. Утратил силу с 1 марта 2023 года. - </w:t>
      </w:r>
      <w:hyperlink r:id="rId43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</w:t>
        </w:r>
      </w:hyperlink>
      <w:r>
        <w:t xml:space="preserve"> Ростехнадзора от 13.04.2022 N 120.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40. Заключение экспертизы представляется заказчиком в федеральный орган исполнительной власти, осуществляющий контрольные и (или) надзорные функции в области промышленной безопасности на опасном производственном объекте, в отношении которого проведена экспертиза (его территориальный орган), для внесения в реестр заключений экспертизы промышленной безопасности. &lt;15&gt;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07983" w:rsidRDefault="00D5794F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4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Пункт 5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C07983" w:rsidRDefault="00C07983">
      <w:pPr>
        <w:pStyle w:val="ConsPlusNormal0"/>
        <w:jc w:val="both"/>
      </w:pPr>
    </w:p>
    <w:p w:rsidR="00C07983" w:rsidRDefault="00C07983">
      <w:pPr>
        <w:pStyle w:val="ConsPlusNormal0"/>
        <w:jc w:val="both"/>
      </w:pPr>
    </w:p>
    <w:p w:rsidR="00C07983" w:rsidRDefault="00C0798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798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53" w:rsidRDefault="00F05953">
      <w:r>
        <w:separator/>
      </w:r>
    </w:p>
  </w:endnote>
  <w:endnote w:type="continuationSeparator" w:id="0">
    <w:p w:rsidR="00F05953" w:rsidRDefault="00F0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53" w:rsidRDefault="00F05953">
      <w:r>
        <w:separator/>
      </w:r>
    </w:p>
  </w:footnote>
  <w:footnote w:type="continuationSeparator" w:id="0">
    <w:p w:rsidR="00F05953" w:rsidRDefault="00F0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983"/>
    <w:rsid w:val="009507F2"/>
    <w:rsid w:val="00C07983"/>
    <w:rsid w:val="00D5794F"/>
    <w:rsid w:val="00E871E2"/>
    <w:rsid w:val="00F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50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7F2"/>
  </w:style>
  <w:style w:type="paragraph" w:styleId="a5">
    <w:name w:val="footer"/>
    <w:basedOn w:val="a"/>
    <w:link w:val="a6"/>
    <w:uiPriority w:val="99"/>
    <w:unhideWhenUsed/>
    <w:rsid w:val="00950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76&amp;dst=132" TargetMode="External"/><Relationship Id="rId18" Type="http://schemas.openxmlformats.org/officeDocument/2006/relationships/hyperlink" Target="https://login.consultant.ru/link/?req=doc&amp;base=LAW&amp;n=471409&amp;dst=100013" TargetMode="External"/><Relationship Id="rId26" Type="http://schemas.openxmlformats.org/officeDocument/2006/relationships/hyperlink" Target="https://login.consultant.ru/link/?req=doc&amp;base=LAW&amp;n=471409&amp;dst=100102" TargetMode="External"/><Relationship Id="rId39" Type="http://schemas.openxmlformats.org/officeDocument/2006/relationships/hyperlink" Target="https://login.consultant.ru/link/?req=doc&amp;base=LAW&amp;n=473210&amp;dst=100024" TargetMode="External"/><Relationship Id="rId21" Type="http://schemas.openxmlformats.org/officeDocument/2006/relationships/hyperlink" Target="https://login.consultant.ru/link/?req=doc&amp;base=LAW&amp;n=473210&amp;dst=100016" TargetMode="External"/><Relationship Id="rId34" Type="http://schemas.openxmlformats.org/officeDocument/2006/relationships/hyperlink" Target="https://login.consultant.ru/link/?req=doc&amp;base=LAW&amp;n=471409&amp;dst=100013" TargetMode="External"/><Relationship Id="rId42" Type="http://schemas.openxmlformats.org/officeDocument/2006/relationships/hyperlink" Target="https://login.consultant.ru/link/?req=doc&amp;base=LAW&amp;n=418589&amp;dst=100014" TargetMode="External"/><Relationship Id="rId7" Type="http://schemas.openxmlformats.org/officeDocument/2006/relationships/hyperlink" Target="https://login.consultant.ru/link/?req=doc&amp;base=LAW&amp;n=418589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76&amp;dst=228" TargetMode="External"/><Relationship Id="rId29" Type="http://schemas.openxmlformats.org/officeDocument/2006/relationships/hyperlink" Target="https://login.consultant.ru/link/?req=doc&amp;base=LAW&amp;n=483176&amp;dst=27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8589&amp;dst=100006" TargetMode="External"/><Relationship Id="rId24" Type="http://schemas.openxmlformats.org/officeDocument/2006/relationships/hyperlink" Target="https://login.consultant.ru/link/?req=doc&amp;base=LAW&amp;n=471409&amp;dst=100102" TargetMode="External"/><Relationship Id="rId32" Type="http://schemas.openxmlformats.org/officeDocument/2006/relationships/hyperlink" Target="https://login.consultant.ru/link/?req=doc&amp;base=LAW&amp;n=483176&amp;dst=265" TargetMode="External"/><Relationship Id="rId37" Type="http://schemas.openxmlformats.org/officeDocument/2006/relationships/hyperlink" Target="https://login.consultant.ru/link/?req=doc&amp;base=LAW&amp;n=483176&amp;dst=99" TargetMode="External"/><Relationship Id="rId40" Type="http://schemas.openxmlformats.org/officeDocument/2006/relationships/hyperlink" Target="https://login.consultant.ru/link/?req=doc&amp;base=LAW&amp;n=483176&amp;dst=268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3210&amp;dst=100011" TargetMode="External"/><Relationship Id="rId23" Type="http://schemas.openxmlformats.org/officeDocument/2006/relationships/hyperlink" Target="https://login.consultant.ru/link/?req=doc&amp;base=LAW&amp;n=473210&amp;dst=100018" TargetMode="External"/><Relationship Id="rId28" Type="http://schemas.openxmlformats.org/officeDocument/2006/relationships/hyperlink" Target="https://login.consultant.ru/link/?req=doc&amp;base=LAW&amp;n=483176&amp;dst=282" TargetMode="External"/><Relationship Id="rId36" Type="http://schemas.openxmlformats.org/officeDocument/2006/relationships/hyperlink" Target="https://login.consultant.ru/link/?req=doc&amp;base=LAW&amp;n=471409&amp;dst=100013" TargetMode="External"/><Relationship Id="rId10" Type="http://schemas.openxmlformats.org/officeDocument/2006/relationships/hyperlink" Target="https://login.consultant.ru/link/?req=doc&amp;base=LAW&amp;n=506878&amp;dst=100240" TargetMode="External"/><Relationship Id="rId19" Type="http://schemas.openxmlformats.org/officeDocument/2006/relationships/hyperlink" Target="https://login.consultant.ru/link/?req=doc&amp;base=LAW&amp;n=473210&amp;dst=100014" TargetMode="External"/><Relationship Id="rId31" Type="http://schemas.openxmlformats.org/officeDocument/2006/relationships/hyperlink" Target="https://login.consultant.ru/link/?req=doc&amp;base=LAW&amp;n=483176&amp;dst=265" TargetMode="External"/><Relationship Id="rId44" Type="http://schemas.openxmlformats.org/officeDocument/2006/relationships/hyperlink" Target="https://login.consultant.ru/link/?req=doc&amp;base=LAW&amp;n=483176&amp;dst=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76&amp;dst=1" TargetMode="External"/><Relationship Id="rId14" Type="http://schemas.openxmlformats.org/officeDocument/2006/relationships/hyperlink" Target="https://login.consultant.ru/link/?req=doc&amp;base=LAW&amp;n=495924&amp;dst=100148" TargetMode="External"/><Relationship Id="rId22" Type="http://schemas.openxmlformats.org/officeDocument/2006/relationships/hyperlink" Target="https://login.consultant.ru/link/?req=doc&amp;base=LAW&amp;n=471409&amp;dst=100102" TargetMode="External"/><Relationship Id="rId27" Type="http://schemas.openxmlformats.org/officeDocument/2006/relationships/hyperlink" Target="https://login.consultant.ru/link/?req=doc&amp;base=LAW&amp;n=473210&amp;dst=100022" TargetMode="External"/><Relationship Id="rId30" Type="http://schemas.openxmlformats.org/officeDocument/2006/relationships/hyperlink" Target="https://login.consultant.ru/link/?req=doc&amp;base=LAW&amp;n=483176&amp;dst=267" TargetMode="External"/><Relationship Id="rId35" Type="http://schemas.openxmlformats.org/officeDocument/2006/relationships/hyperlink" Target="https://login.consultant.ru/link/?req=doc&amp;base=LAW&amp;n=483176&amp;dst=99" TargetMode="External"/><Relationship Id="rId43" Type="http://schemas.openxmlformats.org/officeDocument/2006/relationships/hyperlink" Target="https://login.consultant.ru/link/?req=doc&amp;base=LAW&amp;n=418589&amp;dst=100018" TargetMode="External"/><Relationship Id="rId8" Type="http://schemas.openxmlformats.org/officeDocument/2006/relationships/hyperlink" Target="https://login.consultant.ru/link/?req=doc&amp;base=LAW&amp;n=473210&amp;dst=1000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3210&amp;dst=100006" TargetMode="External"/><Relationship Id="rId17" Type="http://schemas.openxmlformats.org/officeDocument/2006/relationships/hyperlink" Target="https://login.consultant.ru/link/?req=doc&amp;base=LAW&amp;n=473210&amp;dst=100012" TargetMode="External"/><Relationship Id="rId25" Type="http://schemas.openxmlformats.org/officeDocument/2006/relationships/hyperlink" Target="https://login.consultant.ru/link/?req=doc&amp;base=LAW&amp;n=473210&amp;dst=100020" TargetMode="External"/><Relationship Id="rId33" Type="http://schemas.openxmlformats.org/officeDocument/2006/relationships/hyperlink" Target="https://login.consultant.ru/link/?req=doc&amp;base=LAW&amp;n=471409&amp;dst=100013" TargetMode="External"/><Relationship Id="rId38" Type="http://schemas.openxmlformats.org/officeDocument/2006/relationships/hyperlink" Target="https://login.consultant.ru/link/?req=doc&amp;base=LAW&amp;n=418589&amp;dst=10001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3176&amp;dst=100318" TargetMode="External"/><Relationship Id="rId41" Type="http://schemas.openxmlformats.org/officeDocument/2006/relationships/hyperlink" Target="https://login.consultant.ru/link/?req=doc&amp;base=LAW&amp;n=418589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5990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20.10.2020 N 420
(ред. от 20.02.2024)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vt:lpstr>
    </vt:vector>
  </TitlesOfParts>
  <Company>КонсультантПлюс Версия 4025.00.02</Company>
  <LinksUpToDate>false</LinksUpToDate>
  <CharactersWithSpaces>40053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20.10.2020 N 420
(ред. от 20.02.2024)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dc:title>
  <dc:creator>Колесникова Анастасия Владимировна</dc:creator>
  <cp:lastModifiedBy>UserRTN</cp:lastModifiedBy>
  <cp:revision>2</cp:revision>
  <dcterms:created xsi:type="dcterms:W3CDTF">2025-08-27T09:42:00Z</dcterms:created>
  <dcterms:modified xsi:type="dcterms:W3CDTF">2025-08-27T09:42:00Z</dcterms:modified>
</cp:coreProperties>
</file>